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-666749</wp:posOffset>
            </wp:positionV>
            <wp:extent cx="761365" cy="28956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3667" l="0" r="8694" t="17266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289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Beknopte omschrijving van de bij- of nascholingsbijeenkomst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Titel: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KD+ en management gegevens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Datum/ data:  24 maart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, 26 maart en 29 maart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Plaats: Varsseveld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Digitaal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 met congresinformatie: nvt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Beoogd aantal deelnemers: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3x max 25 personen (jeugdartsen en jeugdverpleegkundigen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Inschrijfgeld per deelnemer: nvt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Aantal onderwijsuren (pauzes, maaltijden, sociale activiteiten, enz. niet meetellen): 3.15</w:t>
            </w:r>
          </w:p>
        </w:tc>
      </w:tr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Hoe ziet het programma eruit?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9.00 -10.30 uur registratieprotocollen en cijfers  uit KD+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10.30 - 10.45 uur pauze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10.45 - 11.30 uur diverse aanpassingen KD+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11.30 - 12.15 uur resultaten onderzoek e-consult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Instructie voor het invullen van vraag 4 en 5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Leden van de organisatiecommissie zijn vrij om zelf de rol van programmacommissie te vervullen dan wel een aparte programmacommissie te benoemen (en vice versa).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Uitsluitend aan 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voorzitter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van de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programma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commissie wordt de eis gesteld van onafhankelijkheid van voor deze bijeenkomst relevante (farmaceutische) bedrijven en sponsors.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 zo ver het mee te zenden programma vraag 4 en 5 beantwoordt, kunt u hiernaar verwijzen en hoeft u vraag 4 en 5 niet in te vullen.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Leden van de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organisatie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Instelling/ organisatie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Marlien Schep, jeugdverpleegkundige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Petra Berendsen,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stafmedewerker JGZ applicatiebeheer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Arina Brunekreeft, junior onderzoeker GGD Zeeland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GGD Zeeland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2940"/>
        <w:gridCol w:w="3202"/>
        <w:tblGridChange w:id="0">
          <w:tblGrid>
            <w:gridCol w:w="3070"/>
            <w:gridCol w:w="2940"/>
            <w:gridCol w:w="3202"/>
          </w:tblGrid>
        </w:tblGridChange>
      </w:tblGrid>
      <w:tr>
        <w:trPr>
          <w:trHeight w:val="39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Leden van de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programma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Instelling/ organisatie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Geregistreerd als specialist  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H.H. Stam – van der Doel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arts M&amp;G      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Marlien Schep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JVP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Petra Berendsen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 jeugdgezondheidszorg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stafmedewerker JGZ applicatiebeheer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Arina Brunekreeft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GGD Zeeland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junior onderzoeker GGD Zeeland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 lid is voorzitter van de programmacommissie: H.H. Stam- van der Doel, arts M&amp;G,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Bignummer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49020655601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Inhoud van de bij- of nascholing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Onderwerp 1 Managementgegevens en KD+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Eenduidig registreren in ons DD JGZ, het KD+,  is een voorwaarde om te beschikken over registratiegegevens van goede kwaliteit en continuïteit t.b.v.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de zorg voor- en het longitudinaal volgen van het kind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het genereren van managementgegevens: gegevens voor rapportages aan teams, aan gemeenten, voor spiegelinformatie en voor Inspectie voor Gezondheidzorg (IGZ)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Eenduidig registreren wordt o.a. gerealiseerd middels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tweejaarlijkse scholingenbijeenkomsten waarbij registratieprotocollen geïmplementeerd en geëvalueerd worden. Er worden cijfers van de registratieprotocollen (uitdraai uit KD+) besproken, zodat de kwaliteit van de registraties verbeterd kunnen worden.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vastgestelde werkwijzen worden vastgelegd in de handleiding KD+ in het handboek, nieuwe werkwijzen en aanpassingen worden tijdens deze scholingen besproken.</w:t>
            </w:r>
          </w:p>
          <w:p w:rsidR="00000000" w:rsidDel="00000000" w:rsidP="00000000" w:rsidRDefault="00000000" w:rsidRPr="00000000" w14:paraId="00000046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Onderwerp 2 KD+, digitaal dossier diverse onderwerpen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Aanpassingen van het KD+ worden getoond en uitgelegd.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Onderwerp 3: resultaten onderzoek e-consult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Yunio heeft meegedaan aan een onderzoek om kijken of een e-consult een fysiek consult kan vervangen. Dit onderzoek is onlangs afgerond. De resultaten zullen worden gepresenteerd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Doelen: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heeft kennis van het handboek op intranet en kan hier documenten vinden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heeft kennis van de Handleiding DDjgz (KD+) en kan het dossier conform deze instructie invullen.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heeft kennis van registratieprotocollen voor diverse onderwerpen ontwikkeld door de JGZ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weet hoe er eenduidig geregistreerd moet worden, zodat er gegevens uit dossiers gehaald kunnen worden voor gemeente en inspectie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is op de hoogte van de aanpassingen aan de registratieprotocollen die behandeld worden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krijgt terugkoppeling van cijfers uit KD+ d.m.v. rapportages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i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jeugdarts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is op de hoogte van diverse nieuwe ontwikkelingen rondom Kd+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is op de hoogte van de resultaten van het onderzoek e-consult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Documentatie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Wordt documentatie verstrekt aan deelnemers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Syllabus/ abstracts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documenten handboek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handleiding KD+ te vinden in het handboek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Anders: namelijk: : Bijv. Hand-out met de presentaties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Toetsing en evaluatie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Leggen deelnemers aan het begin van de bij- of nascholing een schriftelijke toets af:  nee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Leggen deelnemers aan het eind van de bij- of nascholing een schriftelijke toets af:  nee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Een schriftelijke evaluatie van de bijeenkomst onder de deelnemers vindt plaats na afloop van de bijeenkomst: ja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582"/>
        <w:tblGridChange w:id="0">
          <w:tblGrid>
            <w:gridCol w:w="2628"/>
            <w:gridCol w:w="65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CanMEDS punten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75 % Professionaliteit en kwaliteit en 25 % Kennis en wetenschap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Vakinhoudelijk handelen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kennis verworven over de zorgverlening aan patiënten/cliënten?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anatomie/fysiologie, ziektebeelden en beperkingen, verpleegkundige diagnostiek, farmacologie, psychologie en psychiatrie, zelfmanagement, ondersteuning en begeleiding, preventie, interventies, voorbehouden en risicovolle handelingen, zorgleefplan, hulp-en ondersteuningsmiddelen, verpleegtechnieken,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kennis verworven over de zorgverlening aan patiënten/cliënten?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communicatie met patiënten/cliënten?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gesprekstechnieken, theoretische communicatie, gedragsbeïnvloeding, motivatie, empowerment, gebruik van ICT en sociale media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497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Samenwerking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het samenwerken met zorgontvangers, zorgverleners en zorginstellingen?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ketenzorg, verslaglegging en overdracht, ondersteuning mantelzorg, multidisciplinaire samenwerking, groepsdynamica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Kennis en wetenschap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om te reflecteren op mijn deskundigheid en de onderbouwing van mijn handelen?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onderzoeksmethodiek, toepassing van wetenschap, evidence based practice, feedback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Maatschappelijk handelen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maatschappelijke context en het bevorderen van gezondheid?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epidemiologie, preventie, culturele achtergronden, sociale netwerken, leefstijlbevordering, voorlichting, bemoeizorg,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wijze waarop zorg kan worden georganiseerd?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organisatiekunde, kleinschalige woonvormen, betaalbaarheid van de zorg, coördinatie en continuïteit, indicatiestelling, zorg op afstand, patiëntveiligheid, werkklimaat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Professionaliteit en kwaliteit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professionele standaard en kwaliteitsborging?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5497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wet- en regelgeving, beroepscode, beroepsprofielen, standaarden en richtlijnen, protocollen, beroepsvereniging, beroepsimago, kwaliteitsregistratie, kwaliteitssystemen et cetera.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" w:hAnsi="Univers"/>
      <w:w w:val="100"/>
      <w:position w:val="-1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Paginanummer">
    <w:name w:val="Paginanummer"/>
    <w:basedOn w:val="Standaardalinea-lettertype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lattetekst2">
    <w:name w:val="Platte tekst 2"/>
    <w:basedOn w:val="Standaard"/>
    <w:next w:val="Platteteks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blead">
    <w:name w:val="weblead"/>
    <w:basedOn w:val="Standaard"/>
    <w:next w:val="weble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pelle">
    <w:name w:val="spelle"/>
    <w:basedOn w:val="Standaardalinea-lettertype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" w:hAnsi="Univers"/>
      <w:w w:val="100"/>
      <w:position w:val="-1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Lijstalinea">
    <w:name w:val="Lijstalinea"/>
    <w:basedOn w:val="Standaard"/>
    <w:next w:val="Lijstalinea"/>
    <w:autoRedefine w:val="0"/>
    <w:hidden w:val="0"/>
    <w:qFormat w:val="1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Arial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l-NL"/>
    </w:rPr>
  </w:style>
  <w:style w:type="paragraph" w:styleId="Normaal(web)">
    <w:name w:val="Normaal (web)"/>
    <w:basedOn w:val="Standaard"/>
    <w:next w:val="Norma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31sJ7hZdefoD982FpvzrLoOew==">AMUW2mWdE99ToWexTZXGgHnSSDHPwKEeSquIqYRzxgJhlcjx9Uz2ivqwPXrPVioAFAvslOMTzScjy7x7y/rG+Axvyg1Evh1mHdViHYTQgQijfvsQ6Cb5SFs=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2019-04-09T14:35:00Z</dcterms:created>
  <dc:creator>Erica Stam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0x0101001CC44B4FF5A0DE4D95BD1B2DA27D015D</vt:lpstr>
  </property>
</Properties>
</file>